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Just as the components of a vector change when we change the</w:t>
      </w:r>
      <w:r>
        <w:t xml:space="preserve"> </w:t>
      </w:r>
      <w:hyperlink r:id="rId20">
        <w:r>
          <w:rPr>
            <w:rStyle w:val="Hyperlink"/>
          </w:rPr>
          <w:t xml:space="preserve">basis</w:t>
        </w:r>
      </w:hyperlink>
      <w:r>
        <w:t xml:space="preserve"> </w:t>
      </w:r>
      <w:r>
        <w:t xml:space="preserve">of the vector space, the components of a tensor also change under such a transformation. Each type of tensor comes equipped with a</w:t>
      </w:r>
      <w:r>
        <w:t xml:space="preserve"> </w:t>
      </w:r>
      <w:r>
        <w:rPr>
          <w:iCs/>
          <w:i/>
        </w:rPr>
        <w:t xml:space="preserve">transformation law</w:t>
      </w:r>
      <w:r>
        <w:t xml:space="preserve"> </w:t>
      </w:r>
      <w:r>
        <w:t xml:space="preserve">that details how the components of the tensor respond to a</w:t>
      </w:r>
      <w:r>
        <w:t xml:space="preserve"> </w:t>
      </w:r>
      <w:hyperlink r:id="rId21">
        <w:r>
          <w:rPr>
            <w:rStyle w:val="Hyperlink"/>
          </w:rPr>
          <w:t xml:space="preserve">change of basis</w:t>
        </w:r>
      </w:hyperlink>
      <w:r>
        <w:t xml:space="preserve">. The components of a vector can respond in two distinct ways to a</w:t>
      </w:r>
      <w:r>
        <w:t xml:space="preserve"> </w:t>
      </w:r>
      <w:hyperlink r:id="rId21">
        <w:r>
          <w:rPr>
            <w:rStyle w:val="Hyperlink"/>
          </w:rPr>
          <w:t xml:space="preserve">change of basis</w:t>
        </w:r>
      </w:hyperlink>
      <w:r>
        <w:t xml:space="preserve"> </w:t>
      </w:r>
      <w:r>
        <w:t xml:space="preserve">(see</w:t>
      </w:r>
      <w:r>
        <w:t xml:space="preserve"> </w:t>
      </w:r>
      <w:hyperlink r:id="rId22">
        <w:r>
          <w:rPr>
            <w:rStyle w:val="Hyperlink"/>
          </w:rPr>
          <w:t xml:space="preserve">covariance and contravariance of vectors</w:t>
        </w:r>
      </w:hyperlink>
      <w:r>
        <w:t xml:space="preserve">), where the new</w:t>
      </w:r>
      <w:r>
        <w:t xml:space="preserve"> </w:t>
      </w:r>
      <w:hyperlink r:id="rId23">
        <w:r>
          <w:rPr>
            <w:rStyle w:val="Hyperlink"/>
          </w:rPr>
          <w:t xml:space="preserve">basis vectors</w:t>
        </w:r>
      </w:hyperlink>
      <w:r>
        <w:t xml:space="preserve"> </w:t>
      </w:r>
      <m:oMath>
        <m:sSub>
          <m:e>
            <m:acc>
              <m:accPr>
                <m:chr m:val="̂"/>
              </m:accPr>
              <m:e>
                <m:r>
                  <m:rPr>
                    <m:sty m:val="b"/>
                  </m:rPr>
                  <m:t>e</m:t>
                </m:r>
              </m:e>
            </m:acc>
          </m:e>
          <m:sub>
            <m:r>
              <m:t>i</m:t>
            </m:r>
          </m:sub>
        </m:sSub>
      </m:oMath>
      <w:r>
        <w:t xml:space="preserve"> </w:t>
      </w:r>
      <w:r>
        <w:t xml:space="preserve">are expressed in terms of the old basis vectors</w:t>
      </w:r>
      <w:r>
        <w:t xml:space="preserve"> </w:t>
      </w:r>
      <m:oMath>
        <m:sSub>
          <m:e>
            <m:r>
              <m:rPr>
                <m:sty m:val="b"/>
              </m:rPr>
              <m:t>e</m:t>
            </m:r>
          </m:e>
          <m:sub>
            <m:r>
              <m:t>j</m:t>
            </m:r>
          </m:sub>
        </m:sSub>
      </m:oMath>
      <w:r>
        <w:t xml:space="preserve"> </w:t>
      </w:r>
      <w:r>
        <w:t xml:space="preserve">as,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acc>
                <m:accPr>
                  <m:chr m:val="̂"/>
                </m:accPr>
                <m:e>
                  <m:r>
                    <m:rPr>
                      <m:sty m:val="b"/>
                    </m:rPr>
                    <m:t>e</m:t>
                  </m:r>
                </m:e>
              </m:acc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nary>
            <m:naryPr>
              <m:chr m:val="∑"/>
              <m:limLoc m:val="undOvr"/>
              <m:subHide m:val="0"/>
              <m:supHide m:val="0"/>
            </m:naryPr>
            <m:sub>
              <m:r>
                <m:t>j</m:t>
              </m:r>
              <m:r>
                <m:rPr>
                  <m:sty m:val="p"/>
                </m:rPr>
                <m:t>=</m:t>
              </m:r>
              <m:r>
                <m:t>1</m:t>
              </m:r>
            </m:sub>
            <m:sup>
              <m:r>
                <m:t>n</m:t>
              </m:r>
            </m:sup>
            <m:e>
              <m:sSub>
                <m:e>
                  <m:r>
                    <m:rPr>
                      <m:sty m:val="b"/>
                    </m:rPr>
                    <m:t>e</m:t>
                  </m:r>
                </m:e>
                <m:sub>
                  <m:r>
                    <m:t>j</m:t>
                  </m:r>
                </m:sub>
              </m:sSub>
            </m:e>
          </m:nary>
          <m:sSubSup>
            <m:e>
              <m:r>
                <m:t>R</m:t>
              </m:r>
            </m:e>
            <m:sub>
              <m:r>
                <m:t>i</m:t>
              </m:r>
            </m:sub>
            <m:sup>
              <m:r>
                <m:t>j</m:t>
              </m:r>
            </m:sup>
          </m:sSubSup>
          <m:r>
            <m:rPr>
              <m:sty m:val="p"/>
            </m:rPr>
            <m:t>=</m:t>
          </m:r>
          <m:sSub>
            <m:e>
              <m:r>
                <m:rPr>
                  <m:sty m:val="b"/>
                </m:rPr>
                <m:t>e</m:t>
              </m:r>
            </m:e>
            <m:sub>
              <m:r>
                <m:t>j</m:t>
              </m:r>
            </m:sub>
          </m:sSub>
          <m:sSubSup>
            <m:e>
              <m:r>
                <m:t>R</m:t>
              </m:r>
            </m:e>
            <m:sub>
              <m:r>
                <m:t>i</m:t>
              </m:r>
            </m:sub>
            <m:sup>
              <m:r>
                <m:t>j</m:t>
              </m:r>
            </m:sup>
          </m:sSubSup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Here</w:t>
      </w:r>
      <w:r>
        <w:t xml:space="preserve"> </w:t>
      </w:r>
      <w:r>
        <w:rPr>
          <w:iCs/>
          <w:i/>
        </w:rPr>
        <w:t xml:space="preserve">R</w:t>
      </w:r>
      <w:r>
        <w:rPr>
          <w:iCs/>
          <w:i/>
          <w:vertAlign w:val="superscript"/>
        </w:rPr>
        <w:t xml:space="preserve">j</w:t>
      </w:r>
      <w:r>
        <w:rPr>
          <w:iCs/>
          <w:i/>
          <w:vertAlign w:val="subscript"/>
        </w:rPr>
        <w:t xml:space="preserve">i</w:t>
      </w:r>
      <w:r>
        <w:t xml:space="preserve"> </w:t>
      </w:r>
      <w:r>
        <w:t xml:space="preserve">are the entries of the change of basis matrix, and in the rightmost expression the</w:t>
      </w:r>
      <w:r>
        <w:t xml:space="preserve"> </w:t>
      </w:r>
      <w:hyperlink r:id="rId24">
        <w:r>
          <w:rPr>
            <w:rStyle w:val="Hyperlink"/>
          </w:rPr>
          <w:t xml:space="preserve">summation</w:t>
        </w:r>
      </w:hyperlink>
      <w:r>
        <w:t xml:space="preserve"> </w:t>
      </w:r>
      <w:r>
        <w:t xml:space="preserve">sign was suppressed: this is the</w:t>
      </w:r>
      <w:r>
        <w:t xml:space="preserve"> </w:t>
      </w:r>
      <w:hyperlink r:id="rId25">
        <w:r>
          <w:rPr>
            <w:rStyle w:val="Hyperlink"/>
          </w:rPr>
          <w:t xml:space="preserve">Einstein summation convention</w:t>
        </w:r>
      </w:hyperlink>
      <w:r>
        <w:t xml:space="preserve">, which will be used throughout this article.</w:t>
      </w:r>
      <w:r>
        <w:rPr>
          <w:rStyle w:val="FootnoteReference"/>
        </w:rPr>
        <w:footnoteReference w:id="26"/>
      </w:r>
      <w:r>
        <w:t xml:space="preserve"> </w:t>
      </w:r>
      <w:r>
        <w:t xml:space="preserve">The components</w:t>
      </w:r>
      <w:r>
        <w:t xml:space="preserve"> </w:t>
      </w:r>
      <w:r>
        <w:rPr>
          <w:iCs/>
          <w:i/>
        </w:rPr>
        <w:t xml:space="preserve">v</w:t>
      </w:r>
      <w:r>
        <w:rPr>
          <w:iCs/>
          <w:i/>
          <w:vertAlign w:val="superscript"/>
        </w:rPr>
        <w:t xml:space="preserve">i</w:t>
      </w:r>
      <w:r>
        <w:t xml:space="preserve"> </w:t>
      </w:r>
      <w:r>
        <w:t xml:space="preserve">of a column vector</w:t>
      </w:r>
      <w:r>
        <w:t xml:space="preserve"> </w:t>
      </w:r>
      <w:r>
        <w:rPr>
          <w:bCs/>
          <w:b/>
        </w:rPr>
        <w:t xml:space="preserve">v</w:t>
      </w:r>
      <w:r>
        <w:t xml:space="preserve"> </w:t>
      </w:r>
      <w:r>
        <w:t xml:space="preserve">transform with the</w:t>
      </w:r>
      <w:r>
        <w:t xml:space="preserve"> </w:t>
      </w:r>
      <w:hyperlink r:id="rId27">
        <w:r>
          <w:rPr>
            <w:rStyle w:val="Hyperlink"/>
          </w:rPr>
          <w:t xml:space="preserve">inverse</w:t>
        </w:r>
      </w:hyperlink>
      <w:r>
        <w:t xml:space="preserve"> </w:t>
      </w:r>
      <w:r>
        <w:t xml:space="preserve">of the matrix</w:t>
      </w:r>
      <w:r>
        <w:t xml:space="preserve"> </w:t>
      </w:r>
      <w:r>
        <w:rPr>
          <w:iCs/>
          <w:i/>
        </w:rPr>
        <w:t xml:space="preserve">R</w:t>
      </w:r>
      <w:r>
        <w:t xml:space="preserve">,</w:t>
      </w:r>
    </w:p>
    <w:p>
      <w:pPr>
        <w:pStyle w:val="BodyText"/>
      </w:pPr>
      <m:oMathPara>
        <m:oMathParaPr>
          <m:jc m:val="center"/>
        </m:oMathParaPr>
        <m:oMath>
          <m:sSup>
            <m:e>
              <m:acc>
                <m:accPr>
                  <m:chr m:val="̂"/>
                </m:accPr>
                <m:e>
                  <m:r>
                    <m:t>v</m:t>
                  </m:r>
                </m:e>
              </m:acc>
            </m:e>
            <m:sup>
              <m:r>
                <m:t>i</m:t>
              </m:r>
            </m:sup>
          </m:sSup>
          <m:r>
            <m:rPr>
              <m:sty m:val="p"/>
            </m:rPr>
            <m:t>=</m:t>
          </m:r>
          <m:sSubSup>
            <m:e>
              <m:d>
                <m:dPr>
                  <m:begChr m:val="("/>
                  <m:endChr m:val=")"/>
                  <m:sepChr m:val=""/>
                  <m:grow/>
                </m:dPr>
                <m:e>
                  <m:sSup>
                    <m:e>
                      <m:r>
                        <m:t>R</m:t>
                      </m:r>
                    </m:e>
                    <m:sup>
                      <m:r>
                        <m:rPr>
                          <m:sty m:val="p"/>
                        </m:rPr>
                        <m:t>−</m:t>
                      </m:r>
                      <m:r>
                        <m:t>1</m:t>
                      </m:r>
                    </m:sup>
                  </m:sSup>
                </m:e>
              </m:d>
            </m:e>
            <m:sub>
              <m:r>
                <m:t>j</m:t>
              </m:r>
            </m:sub>
            <m:sup>
              <m:r>
                <m:t>i</m:t>
              </m:r>
            </m:sup>
          </m:sSubSup>
          <m:sSup>
            <m:e>
              <m:r>
                <m:t>v</m:t>
              </m:r>
            </m:e>
            <m:sup>
              <m:r>
                <m:t>j</m:t>
              </m:r>
            </m:sup>
          </m:sSup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where the hat denotes the components in the new basis. This is called a</w:t>
      </w:r>
      <w:r>
        <w:t xml:space="preserve"> </w:t>
      </w:r>
      <w:r>
        <w:rPr>
          <w:iCs/>
          <w:i/>
        </w:rPr>
        <w:t xml:space="preserve">contravariant</w:t>
      </w:r>
      <w:r>
        <w:t xml:space="preserve"> </w:t>
      </w:r>
      <w:r>
        <w:t xml:space="preserve">transformation law, because the vector components transform by the</w:t>
      </w:r>
      <w:r>
        <w:t xml:space="preserve"> </w:t>
      </w:r>
      <w:r>
        <w:rPr>
          <w:iCs/>
          <w:i/>
        </w:rPr>
        <w:t xml:space="preserve">inverse</w:t>
      </w:r>
      <w:r>
        <w:t xml:space="preserve"> </w:t>
      </w:r>
      <w:r>
        <w:t xml:space="preserve">of the change of basis. In contrast, the components,</w:t>
      </w:r>
      <w:r>
        <w:t xml:space="preserve"> </w:t>
      </w:r>
      <w:r>
        <w:rPr>
          <w:iCs/>
          <w:i/>
        </w:rPr>
        <w:t xml:space="preserve">w</w:t>
      </w:r>
      <w:r>
        <w:rPr>
          <w:iCs/>
          <w:i/>
          <w:vertAlign w:val="subscript"/>
        </w:rPr>
        <w:t xml:space="preserve">i</w:t>
      </w:r>
      <w:r>
        <w:t xml:space="preserve">, of a covector (or row vector),</w:t>
      </w:r>
      <w:r>
        <w:t xml:space="preserve"> </w:t>
      </w:r>
      <w:r>
        <w:rPr>
          <w:bCs/>
          <w:b/>
        </w:rPr>
        <w:t xml:space="preserve">w</w:t>
      </w:r>
      <w:r>
        <w:t xml:space="preserve">, transform with the matrix</w:t>
      </w:r>
      <w:r>
        <w:t xml:space="preserve"> </w:t>
      </w:r>
      <w:r>
        <w:rPr>
          <w:iCs/>
          <w:i/>
        </w:rPr>
        <w:t xml:space="preserve">R</w:t>
      </w:r>
      <w:r>
        <w:t xml:space="preserve"> </w:t>
      </w:r>
      <w:r>
        <w:t xml:space="preserve">itself,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acc>
                <m:accPr>
                  <m:chr m:val="̂"/>
                </m:accPr>
                <m:e>
                  <m:r>
                    <m:t>w</m:t>
                  </m:r>
                </m:e>
              </m:acc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sSub>
            <m:e>
              <m:r>
                <m:t>w</m:t>
              </m:r>
            </m:e>
            <m:sub>
              <m:r>
                <m:t>j</m:t>
              </m:r>
            </m:sub>
          </m:sSub>
          <m:sSubSup>
            <m:e>
              <m:r>
                <m:t>R</m:t>
              </m:r>
            </m:e>
            <m:sub>
              <m:r>
                <m:t>i</m:t>
              </m:r>
            </m:sub>
            <m:sup>
              <m:r>
                <m:t>j</m:t>
              </m:r>
            </m:sup>
          </m:sSubSup>
          <m:r>
            <m:rPr>
              <m:sty m:val="p"/>
            </m:rPr>
            <m:t>.</m:t>
          </m:r>
        </m:oMath>
      </m:oMathPara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26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The Einstein summation convention, in brief, requires the sum to be taken over all values of the index whenever the same symbol appears as a subscript and superscript in the same term. For example, under this convention</w:t>
      </w:r>
      <w:r>
        <w:t xml:space="preserve"> </w:t>
      </w:r>
      <m:oMath>
        <m:sSub>
          <m:e>
            <m:r>
              <m:t>B</m:t>
            </m:r>
          </m:e>
          <m:sub>
            <m:r>
              <m:t>i</m:t>
            </m:r>
          </m:sub>
        </m:sSub>
        <m:sSup>
          <m:e>
            <m:r>
              <m:t>C</m:t>
            </m:r>
          </m:e>
          <m:sup>
            <m:r>
              <m:t>i</m:t>
            </m:r>
          </m:sup>
        </m:sSup>
        <m:r>
          <m:rPr>
            <m:sty m:val="p"/>
          </m:rPr>
          <m:t>=</m:t>
        </m:r>
        <m:sSub>
          <m:e>
            <m:r>
              <m:t>B</m:t>
            </m:r>
          </m:e>
          <m:sub>
            <m:r>
              <m:t>1</m:t>
            </m:r>
          </m:sub>
        </m:sSub>
        <m:sSup>
          <m:e>
            <m:r>
              <m:t>C</m:t>
            </m:r>
          </m:e>
          <m:sup>
            <m:r>
              <m:t>1</m:t>
            </m:r>
          </m:sup>
        </m:sSup>
        <m:r>
          <m:rPr>
            <m:sty m:val="p"/>
          </m:rPr>
          <m:t>+</m:t>
        </m:r>
        <m:sSub>
          <m:e>
            <m:r>
              <m:t>B</m:t>
            </m:r>
          </m:e>
          <m:sub>
            <m:r>
              <m:t>2</m:t>
            </m:r>
          </m:sub>
        </m:sSub>
        <m:sSup>
          <m:e>
            <m:r>
              <m:t>C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rPr>
            <m:sty m:val="p"/>
          </m:rPr>
          <m:t>⋯</m:t>
        </m:r>
        <m:sSub>
          <m:e>
            <m:r>
              <m:t>B</m:t>
            </m:r>
          </m:e>
          <m:sub>
            <m:r>
              <m:t>n</m:t>
            </m:r>
          </m:sub>
        </m:sSub>
        <m:sSup>
          <m:e>
            <m:r>
              <m:t>C</m:t>
            </m:r>
          </m:e>
          <m:sup>
            <m:r>
              <m:t>n</m:t>
            </m:r>
          </m:sup>
        </m:sSup>
      </m:oMath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5" Target="Einstein_summation_convention" TargetMode="External" /><Relationship Type="http://schemas.openxmlformats.org/officeDocument/2006/relationships/hyperlink" Id="rId20" Target="basis_(linear_algebra)" TargetMode="External" /><Relationship Type="http://schemas.openxmlformats.org/officeDocument/2006/relationships/hyperlink" Id="rId23" Target="basis_vectors" TargetMode="External" /><Relationship Type="http://schemas.openxmlformats.org/officeDocument/2006/relationships/hyperlink" Id="rId21" Target="change_of_basis" TargetMode="External" /><Relationship Type="http://schemas.openxmlformats.org/officeDocument/2006/relationships/hyperlink" Id="rId22" Target="covariance_and_contravariance_of_vectors" TargetMode="External" /><Relationship Type="http://schemas.openxmlformats.org/officeDocument/2006/relationships/hyperlink" Id="rId27" Target="matrix_inverse" TargetMode="External" /><Relationship Type="http://schemas.openxmlformats.org/officeDocument/2006/relationships/hyperlink" Id="rId24" Target="summatio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Einstein_summation_convention" TargetMode="External" /><Relationship Type="http://schemas.openxmlformats.org/officeDocument/2006/relationships/hyperlink" Id="rId20" Target="basis_(linear_algebra)" TargetMode="External" /><Relationship Type="http://schemas.openxmlformats.org/officeDocument/2006/relationships/hyperlink" Id="rId23" Target="basis_vectors" TargetMode="External" /><Relationship Type="http://schemas.openxmlformats.org/officeDocument/2006/relationships/hyperlink" Id="rId21" Target="change_of_basis" TargetMode="External" /><Relationship Type="http://schemas.openxmlformats.org/officeDocument/2006/relationships/hyperlink" Id="rId22" Target="covariance_and_contravariance_of_vectors" TargetMode="External" /><Relationship Type="http://schemas.openxmlformats.org/officeDocument/2006/relationships/hyperlink" Id="rId27" Target="matrix_inverse" TargetMode="External" /><Relationship Type="http://schemas.openxmlformats.org/officeDocument/2006/relationships/hyperlink" Id="rId24" Target="summatio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1970-01-01T00:00:00Z</dcterms:created>
  <dcterms:modified xsi:type="dcterms:W3CDTF">1970-01-01T00:00:00Z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